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945-D</w:t>
        <w:t xml:space="preserve">.  </w:t>
      </w:r>
      <w:r>
        <w:rPr>
          <w:b/>
        </w:rPr>
        <w:t xml:space="preserve">General powers</w:t>
      </w:r>
    </w:p>
    <w:p>
      <w:pPr>
        <w:jc w:val="both"/>
        <w:spacing w:before="100" w:after="100"/>
        <w:ind w:start="360"/>
        <w:ind w:firstLine="360"/>
      </w:pPr>
      <w:r>
        <w:rPr/>
      </w:r>
      <w:r>
        <w:rPr/>
      </w:r>
      <w:r>
        <w:t xml:space="preserve">The center may:</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Employ a staff and provide services to public or private entities to assist their efforts in the development of international trade in the State and to charge such fees for these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or grant real and personal property, together with those rights and privileges that may be incidental and appurtenant to the real and personal property and the use of the real and personal property, including, but not limited to, any real or personal property acquired by the center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and the University of Maine System; and cooperate, assist and encourage organizations, local or regional, private or public, in the communities of the State in the promotion, assistance and development of international trade in those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§945-D.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§945-D.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§945-D.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