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970-A</w:t>
        <w:t xml:space="preserve">.  </w:t>
      </w:r>
      <w:r>
        <w:rPr>
          <w:b/>
        </w:rPr>
        <w:t xml:space="preserve">Other mortgage insurance</w:t>
      </w:r>
    </w:p>
    <w:p>
      <w:pPr>
        <w:jc w:val="both"/>
        <w:spacing w:before="100" w:after="100"/>
        <w:ind w:start="360"/>
        <w:ind w:firstLine="360"/>
      </w:pPr>
      <w:r>
        <w:rPr/>
      </w:r>
      <w:r>
        <w:rPr/>
      </w:r>
      <w:r>
        <w:t xml:space="preserve">In carrying out the purposes of this chapter, the authority shall, to the greatest extent possible, require the utilization of private or other governmental sources of mortgage insurance or credit enhancement devices in order to assure the most effective and efficient use of state resources for mortgage insurance.</w:t>
      </w:r>
      <w:r>
        <w:t xml:space="preserve">  </w:t>
      </w:r>
      <w:r xmlns:wp="http://schemas.openxmlformats.org/drawingml/2010/wordprocessingDrawing" xmlns:w15="http://schemas.microsoft.com/office/word/2012/wordml">
        <w:rPr>
          <w:rFonts w:ascii="Arial" w:hAnsi="Arial" w:cs="Arial"/>
          <w:sz w:val="22"/>
          <w:szCs w:val="22"/>
        </w:rPr>
        <w:t xml:space="preserve">[PL 1985, c. 344,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§970-A. Other mortgage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§970-A. Other mortgage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§970-A. OTHER MORTGAGE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