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authority and each employee, contractor, agent or other representative of the authority is deemed an "executive employee" solely for purposes of </w:t>
      </w:r>
      <w:r>
        <w:t>Title 5, section 18</w:t>
      </w:r>
      <w:r>
        <w:t xml:space="preserve">, and for no other purpose, except that the chief executive officer in addition is deemed an "executive employee" for purposes of </w:t>
      </w:r>
      <w:r>
        <w:t>Title 5, section 19</w:t>
      </w:r>
      <w:r>
        <w:t xml:space="preserve">. </w:t>
      </w:r>
      <w:r>
        <w:t>Title 17, section 3104</w:t>
      </w:r>
      <w:r>
        <w:t xml:space="preserve"> does not apply to any of those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417,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§22 (RPR). PL 1989, c. 598, §7 (AMD). PL 1989, c. 698, §8 (AMD). PL 1993, c. 359, §C5 (AMD). PL 1993, c. 460, §3 (AMD). PL 1993, c. 460, §9 (AFF). PL 1995, c. 462, §A16 (RPR). PL 2001, c. 417,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§973.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§973.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