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Preservation of old transition provision</w:t>
      </w:r>
    </w:p>
    <w:p>
      <w:pPr>
        <w:jc w:val="both"/>
        <w:spacing w:before="100" w:after="100"/>
        <w:ind w:start="360"/>
        <w:ind w:firstLine="360"/>
      </w:pPr>
      <w:r>
        <w:rPr/>
      </w:r>
      <w:r>
        <w:rPr/>
      </w:r>
      <w:r>
        <w:t xml:space="preserve">Chapter 362, </w:t>
      </w:r>
      <w:r>
        <w:t>section 41</w:t>
      </w:r>
      <w:r>
        <w:t xml:space="preserve"> of the public laws of 1963 shall continue to apply to the new code and for this purpose the old code and the new code shall be considered one continuous statute.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§10-102. Preservation of old transition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Preservation of old transition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§10-102. PRESERVATION OF OLD TRANSITION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