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2-1208</w:t>
        <w:t xml:space="preserve">.  </w:t>
      </w:r>
      <w:r>
        <w:rPr>
          <w:b/>
        </w:rPr>
        <w:t xml:space="preserve">Modification, rescission and waiver</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§2-1208. Modification, rescission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§2-1208. Modification, rescission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§2-1208. MODIFICATION, RESCISSION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