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2-1302</w:t>
        <w:t xml:space="preserve">.  </w:t>
      </w:r>
      <w:r>
        <w:rPr>
          <w:b/>
        </w:rPr>
        <w:t xml:space="preserve">Title to and possession of goods</w:t>
      </w:r>
    </w:p>
    <w:p>
      <w:pPr>
        <w:jc w:val="both"/>
        <w:spacing w:before="100" w:after="100"/>
        <w:ind w:start="360"/>
        <w:ind w:firstLine="360"/>
      </w:pPr>
      <w:r>
        <w:rPr/>
      </w:r>
      <w:r>
        <w:rPr/>
      </w:r>
      <w:r>
        <w:t xml:space="preserve">Except as otherwise provided in this Article, each provision of this Article applies whether the lessor or a third party has title to the goods, and whether the lessor, the lessee or a third party has possession of the goods, notwithstanding any statute or rule of law that possession or the absence of possession is fraudulent.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§2-1302. Title to and possession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§2-1302. Title to and possession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§2-1302. TITLE TO AND POSSESSION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