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2-1514</w:t>
        <w:t xml:space="preserve">.  </w:t>
      </w:r>
      <w:r>
        <w:rPr>
          <w:b/>
        </w:rPr>
        <w:t xml:space="preserve">Waiver of lessee's objections</w:t>
      </w:r>
    </w:p>
    <w:p>
      <w:pPr>
        <w:jc w:val="both"/>
        <w:spacing w:before="100" w:after="100"/>
        <w:ind w:start="360"/>
        <w:ind w:firstLine="360"/>
      </w:pPr>
      <w:r>
        <w:rPr>
          <w:b/>
        </w:rPr>
        <w:t>(1)</w:t>
        <w:t xml:space="preserve">.  </w:t>
      </w:r>
      <w:r>
        <w:rPr>
          <w:b/>
        </w:rPr>
      </w:r>
      <w:r>
        <w:t xml:space="preserve"> </w:t>
      </w:r>
      <w:r>
        <w:t xml:space="preserve">In rejecting goods, a lessee's failure to state a particular defect that is ascertainable by reasonable inspection precludes the lessee from relying on the defect to justify rejection or to establish default:</w:t>
      </w:r>
    </w:p>
    <w:p>
      <w:pPr>
        <w:jc w:val="both"/>
        <w:spacing w:before="100" w:after="0"/>
        <w:ind w:start="720"/>
      </w:pPr>
      <w:r>
        <w:rPr/>
        <w:t>(a)</w:t>
        <w:t xml:space="preserve">.  </w:t>
      </w:r>
      <w:r>
        <w:rPr/>
      </w:r>
      <w:r>
        <w:t xml:space="preserve">If, stated seasonably, the lessor or the supplier could have cured it (</w:t>
      </w:r>
      <w:r>
        <w:t>section 2‑1513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Between merchants if the lessor or the supplier after rejection has made a request in writing for a full and final written statement of all defects on which the lessee proposes to rely.</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A lessee's failure to reserve rights when paying rent or other consideration against documents precludes recovery of the payment for defects apparent in the documents.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§21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PL 2009, c. 324, Pt. B, §21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§2-1514. Waiver of lessee's objections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§2-1514. Waiver of lessee's objections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§2-1514. WAIVER OF LESSEE'S OBJECTIONS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