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§2-314. Implied warranty: merchantability;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Implied warranty: merchantability;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§2-314. IMPLIED WARRANTY: MERCHANTABILITY;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