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Effect of "cancellation" or "rescission" on claims for antecedent breach</w:t>
      </w:r>
    </w:p>
    <w:p>
      <w:pPr>
        <w:jc w:val="both"/>
        <w:spacing w:before="100" w:after="100"/>
        <w:ind w:start="360"/>
        <w:ind w:firstLine="360"/>
      </w:pPr>
      <w:r>
        <w:rPr/>
      </w:r>
      <w:r>
        <w:rPr/>
      </w:r>
      <w:r>
        <w:t xml:space="preserve">Unless the contrary intention clearly appears, expressions of "cancellation" or "rescission" of the contract or the like shall not be construed as a renunciation or discharge of any claim in damages for an antecedent breach.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§2-720. Effect of "cancellation" or "rescission" on claims for antecedent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Effect of "cancellation" or "rescission" on claims for antecedent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§2-720. EFFECT OF "CANCELLATION" OR "RESCISSION" ON CLAIMS FOR ANTECEDENT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