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Who can sue third parties for injury to goods</w:t>
      </w:r>
    </w:p>
    <w:p>
      <w:pPr>
        <w:jc w:val="both"/>
        <w:spacing w:before="100" w:after="100"/>
        <w:ind w:start="360"/>
        <w:ind w:firstLine="360"/>
      </w:pPr>
      <w:r>
        <w:rPr/>
      </w:r>
      <w:r>
        <w:rPr/>
      </w:r>
      <w:r>
        <w:t xml:space="preserve">Where a third party so deals with goods which have been identified to a contract for sale as to cause actionable injury to a party to that contract,</w:t>
      </w:r>
    </w:p>
    <w:p>
      <w:pPr>
        <w:jc w:val="both"/>
        <w:spacing w:before="100" w:after="100"/>
        <w:ind w:start="360"/>
        <w:ind w:firstLine="360"/>
      </w:pPr>
      <w:r>
        <w:rPr>
          <w:b/>
        </w:rPr>
        <w:t>(1)</w:t>
        <w:t xml:space="preserve">.  </w:t>
      </w:r>
      <w:r>
        <w:rPr>
          <w:b/>
        </w:rPr>
      </w:r>
      <w:r>
        <w:t xml:space="preserve"> </w:t>
      </w:r>
      <w:r>
        <w:t xml:space="preserve">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pPr>
        <w:jc w:val="both"/>
        <w:spacing w:before="100" w:after="100"/>
        <w:ind w:start="360"/>
        <w:ind w:firstLine="360"/>
      </w:pPr>
      <w:r>
        <w:rPr>
          <w:b/>
        </w:rPr>
        <w:t>(2)</w:t>
        <w:t xml:space="preserve">.  </w:t>
      </w:r>
      <w:r>
        <w:rPr>
          <w:b/>
        </w:rPr>
      </w:r>
      <w:r>
        <w:t xml:space="preserve"> </w:t>
      </w:r>
      <w:r>
        <w:t xml:space="preserve">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w:t>
      </w:r>
    </w:p>
    <w:p>
      <w:pPr>
        <w:jc w:val="both"/>
        <w:spacing w:before="100" w:after="100"/>
        <w:ind w:start="360"/>
        <w:ind w:firstLine="360"/>
      </w:pPr>
      <w:r>
        <w:rPr>
          <w:b/>
        </w:rPr>
        <w:t>(3)</w:t>
        <w:t xml:space="preserve">.  </w:t>
      </w:r>
      <w:r>
        <w:rPr>
          <w:b/>
        </w:rPr>
      </w:r>
      <w:r>
        <w:t xml:space="preserve"> </w:t>
      </w:r>
      <w:r>
        <w:t xml:space="preserve">Either party may with the consent of the other sue for the benefit of whom it may concern.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§2-722. Who can sue third parties for injury to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Who can sue third parties for injury to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§2-722. WHO CAN SUE THIRD PARTIES FOR INJURY TO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