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§3-1308. Proof of signatures and status as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§3-1308. PROOF OF SIGNATURES AND STATUS AS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