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§3-1406. NEGLIGENCE CONTRIBUTING TO FORGED SIGNATURE OR ALTERATION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