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4-1102</w:t>
        <w:t xml:space="preserve">.  </w:t>
      </w:r>
      <w:r>
        <w:rPr>
          <w:b/>
        </w:rPr>
        <w:t xml:space="preserve">Subject matter</w:t>
      </w:r>
    </w:p>
    <w:p>
      <w:pPr>
        <w:jc w:val="both"/>
        <w:spacing w:before="100" w:after="100"/>
        <w:ind w:start="360"/>
        <w:ind w:firstLine="360"/>
      </w:pPr>
      <w:r>
        <w:rPr/>
      </w:r>
      <w:r>
        <w:rPr/>
      </w:r>
      <w:r>
        <w:t xml:space="preserve">Except as otherwise provided in </w:t>
      </w:r>
      <w:r>
        <w:t>section 4‑1109</w:t>
      </w:r>
      <w:r>
        <w:t xml:space="preserve">, this Article applies to funds transfers defined in </w:t>
      </w:r>
      <w:r>
        <w:t>section 4‑1104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2013, c. 151,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§4-1102. Subject matter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§4-1102. Subject matter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§4-1102. SUBJECT MATTER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