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4-1202</w:t>
        <w:t xml:space="preserve">.  </w:t>
      </w:r>
      <w:r>
        <w:rPr>
          <w:b/>
        </w:rPr>
        <w:t xml:space="preserve">Authorized and verified payment orders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§4-1202. Authorized and verified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§4-1202. Authorized and verified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§4-1202. AUTHORIZED AND VERIFIED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