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Responsibility for collection or return; when action timely</w:t>
      </w:r>
    </w:p>
    <w:p>
      <w:pPr>
        <w:jc w:val="both"/>
        <w:spacing w:before="100" w:after="100"/>
        <w:ind w:start="360"/>
        <w:ind w:firstLine="360"/>
      </w:pPr>
      <w:r>
        <w:rPr>
          <w:b/>
        </w:rPr>
        <w:t>(1)</w:t>
        <w:t xml:space="preserve">.  </w:t>
      </w:r>
      <w:r>
        <w:rPr>
          <w:b/>
        </w:rPr>
      </w:r>
      <w:r>
        <w:t xml:space="preserve"> </w:t>
      </w:r>
      <w:r>
        <w:t xml:space="preserve">A collecting bank must exercise ordinary care in:</w:t>
      </w:r>
    </w:p>
    <w:p>
      <w:pPr>
        <w:jc w:val="both"/>
        <w:spacing w:before="100" w:after="0"/>
        <w:ind w:start="720"/>
      </w:pPr>
      <w:r>
        <w:rPr/>
        <w:t>(a)</w:t>
        <w:t xml:space="preserve">.  </w:t>
      </w:r>
      <w:r>
        <w:rPr/>
      </w:r>
      <w:r>
        <w:t xml:space="preserve">Presenting an item or sending it for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(b)</w:t>
        <w:t xml:space="preserve">.  </w:t>
      </w:r>
      <w:r>
        <w:rPr/>
      </w:r>
      <w:r>
        <w:t xml:space="preserve">Sending notice of dishonor or nonpayment or returning an item other than a documentary draft to the bank's transferor after learning that the item has not been paid or accepted, as the case may be;</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(c)</w:t>
        <w:t xml:space="preserve">.  </w:t>
      </w:r>
      <w:r>
        <w:rPr/>
      </w:r>
      <w:r>
        <w:t xml:space="preserve">Settling for an item when the bank receives final settlement; and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§19 (RP).]</w:t>
      </w:r>
    </w:p>
    <w:p>
      <w:pPr>
        <w:jc w:val="both"/>
        <w:spacing w:before="100" w:after="0"/>
        <w:ind w:start="720"/>
      </w:pPr>
      <w:r>
        <w:rPr/>
        <w:t>(e)</w:t>
        <w:t xml:space="preserve">.  </w:t>
      </w:r>
      <w:r>
        <w:rPr/>
      </w:r>
      <w:r>
        <w:t xml:space="preserve">Notifying its transferor of any loss or delay in transit within a reasonable time after discovery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(2)</w:t>
        <w:t xml:space="preserve">.  </w:t>
      </w:r>
      <w:r>
        <w:rPr>
          <w:b/>
        </w:rPr>
      </w:r>
      <w:r>
        <w:t xml:space="preserve"> </w:t>
      </w:r>
      <w:r>
        <w:t xml:space="preserve">A collecting bank exercises ordinary care under </w:t>
      </w:r>
      <w:r>
        <w:t>subsection (1)</w:t>
      </w:r>
      <w:r>
        <w:t xml:space="preserve"> by taking proper action before its midnight deadline following receipt of an item, notice or settlement.  Taking proper action within a reasonably longer time may constitute the exercise of ordinary care, but the bank has the burden of establishing timeliness.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(3)</w:t>
        <w:t xml:space="preserve">.  </w:t>
      </w:r>
      <w:r>
        <w:rPr>
          <w:b/>
        </w:rPr>
      </w:r>
      <w:r>
        <w:t xml:space="preserve"> </w:t>
      </w:r>
      <w:r>
        <w:t xml:space="preserve">Subject to </w:t>
      </w:r>
      <w:r>
        <w:t>subsection (1), paragraph (a)</w:t>
      </w:r>
      <w:r>
        <w:t xml:space="preserve">, a bank is not liable for the insolvency, neglect, misconduct, mistake or default of another bank or person or for loss or destruction of an item in the possession of others or in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Responsibility for collection or return; when action timely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Responsibility for collection or return; when action timely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§4-202. RESPONSIBILITY FOR COLLECTION OR RETURN; WHEN ACTION TIMELY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