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When items subject to notice, stop-payment order, legal process or setoff; order in which items may be charged or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§4-303. WHEN ITEMS SUBJECT TO NOTICE, STOP-PAYMENT ORDER, LEGAL PROCESS OR SETOFF; ORDER IN WHICH ITEMS MAY BE CHARGED OR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