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5-1104</w:t>
        <w:t xml:space="preserve">.  </w:t>
      </w:r>
      <w:r>
        <w:rPr>
          <w:b/>
        </w:rPr>
        <w:t xml:space="preserve">Formal requirements</w:t>
      </w:r>
    </w:p>
    <w:p>
      <w:pPr>
        <w:jc w:val="both"/>
        <w:spacing w:before="100" w:after="100"/>
        <w:ind w:start="360"/>
        <w:ind w:firstLine="360"/>
      </w:pPr>
      <w:r>
        <w:rPr/>
      </w:r>
      <w:r>
        <w:rPr/>
      </w:r>
      <w:r>
        <w:t xml:space="preserve">A letter of credit, confirmation, advice, transfer, amendment or cancellation may be issued in any form that is a record and is authenticated by a signature or in accordance with the agreement of the parties or the standard practice referred to in </w:t>
      </w:r>
      <w:r>
        <w:t>section 5‑1108,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§5-1104. Formal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§5-1104. Formal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§5-1104. FORMAL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