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5-1114</w:t>
        <w:t xml:space="preserve">.  </w:t>
      </w:r>
      <w:r>
        <w:rPr>
          <w:b/>
        </w:rPr>
        <w:t xml:space="preserve">Assignment of proceeds</w:t>
      </w:r>
    </w:p>
    <w:p>
      <w:pPr>
        <w:jc w:val="both"/>
        <w:spacing w:before="100" w:after="0"/>
        <w:ind w:start="360"/>
        <w:ind w:firstLine="360"/>
      </w:pPr>
      <w:r>
        <w:rPr>
          <w:b/>
        </w:rPr>
        <w:t>(1)</w:t>
        <w:t xml:space="preserve">.  </w:t>
      </w:r>
      <w:r>
        <w:rPr>
          <w:b/>
        </w:rPr>
      </w:r>
      <w:r>
        <w:t xml:space="preserve"> </w:t>
      </w:r>
      <w:r>
        <w:t xml:space="preserve">In this section,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or nominated person need not recognize an assignment of proceeds of a letter of credit until it consents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Rights of a transferee beneficiary or nominated person are independent of the beneficiary's assignment of the proceeds of a letter of credit and are superior to the assignee's right to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Neither the rights recognized by this section between an assignee and an issuer, transferee beneficiary or nominated person nor the issuer's or nominated person's payment of proceeds to an assignee or a 3rd person affect the rights between the assignee and any person other than the issuer, transferee beneficiary or nominated person.  The mode of creating and perfecting a security interest in or granting an assignment of a beneficiary's rights to proceeds is governed by Article 9 or other law.  Against persons other than the issuer, transferee beneficiary or nominated person, the rights and obligations arising upon the creation of a security interest or other assignment of a beneficiary's right to proceeds and its perfection are governed by Article 9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§5-1114. Assignment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§5-1114. Assignment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§5-1114. ASSIGNMENT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