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§7-1103. Relation of Article to treaty or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§7-1103. Relation of Article to treaty or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§7-1103. RELATION OF ARTICLE TO TREATY OR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