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7-1506</w:t>
        <w:t xml:space="preserve">.  </w:t>
      </w:r>
      <w:r>
        <w:rPr>
          <w:b/>
        </w:rPr>
        <w:t xml:space="preserve">Delivery without indorsement; right to compel indorsement</w:t>
      </w:r>
    </w:p>
    <w:p>
      <w:pPr>
        <w:jc w:val="both"/>
        <w:spacing w:before="100" w:after="100"/>
        <w:ind w:start="360"/>
        <w:ind w:firstLine="360"/>
      </w:pPr>
      <w:r>
        <w:rPr/>
      </w:r>
      <w:r>
        <w:rPr/>
      </w:r>
      <w:r>
        <w:t xml:space="preserve">The transferee of a negotiable tangible document of title has a specifically enforceable right to have its transferor supply any necessary indorsement, but the transfer becomes a negotiation only as of the time the indorsement is supplied.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§7-1506. Delivery without indorsement; right to compel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§7-1506. DELIVERY WITHOUT INDORSEMENT; RIGHT TO COMPEL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