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§8-1103. Rules for determining whether certain obligations and interests are securities or financial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§8-1103. Rules for determining whether certain obligations and interests are securities or financial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§8-1103. RULES FOR DETERMINING WHETHER CERTAIN OBLIGATIONS AND INTERESTS ARE SECURITIES OR FINANCIAL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