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8-1110</w:t>
        <w:t xml:space="preserve">.  </w:t>
      </w:r>
      <w:r>
        <w:rPr>
          <w:b/>
        </w:rPr>
        <w:t xml:space="preserve">Applicability; choice of law</w:t>
      </w:r>
    </w:p>
    <w:p>
      <w:pPr>
        <w:jc w:val="both"/>
        <w:spacing w:before="100" w:after="100"/>
        <w:ind w:start="360"/>
        <w:ind w:firstLine="360"/>
      </w:pPr>
      <w:r>
        <w:rPr>
          <w:b/>
        </w:rPr>
        <w:t>(1)</w:t>
        <w:t xml:space="preserve">.  </w:t>
      </w:r>
      <w:r>
        <w:rPr>
          <w:b/>
        </w:rPr>
      </w:r>
      <w:r>
        <w:t xml:space="preserve"> </w:t>
      </w:r>
      <w:r>
        <w:t xml:space="preserve">The local law of the issuer's jurisdiction, as specified in </w:t>
      </w:r>
      <w:r>
        <w:t>subsection (4)</w:t>
      </w:r>
      <w:r>
        <w:t xml:space="preserve">, governs:</w:t>
      </w:r>
    </w:p>
    <w:p>
      <w:pPr>
        <w:jc w:val="both"/>
        <w:spacing w:before="100" w:after="0"/>
        <w:ind w:start="720"/>
      </w:pPr>
      <w:r>
        <w:rPr/>
        <w:t>(a)</w:t>
        <w:t xml:space="preserve">.  </w:t>
      </w:r>
      <w:r>
        <w:rPr/>
      </w:r>
      <w:r>
        <w:t xml:space="preserve">The validity of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issuer with respect to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effectiveness of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the issuer owes any duties to an adverse claimant to a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Whether an adverse claim can be asserted against a person to whom transfer of a certificated or uncertificated security is registered or a person who obtains control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local law of the securities intermediary's jurisdiction, as specified in </w:t>
      </w:r>
      <w:r>
        <w:t>subsection (5)</w:t>
      </w:r>
      <w:r>
        <w:t xml:space="preserve">, governs:</w:t>
      </w:r>
    </w:p>
    <w:p>
      <w:pPr>
        <w:jc w:val="both"/>
        <w:spacing w:before="100" w:after="0"/>
        <w:ind w:start="720"/>
      </w:pPr>
      <w:r>
        <w:rPr/>
        <w:t>(a)</w:t>
        <w:t xml:space="preserve">.  </w:t>
      </w:r>
      <w:r>
        <w:rPr/>
      </w:r>
      <w:r>
        <w:t xml:space="preserve">Acquisition of a security entitlement from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securities intermediary and entitlement holder arising out of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Whether the securities intermediary owes any duties to an adverse claimant to a security entitlement;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an adverse claim can be asserted against a person who acquires a security entitlement from the securities intermediary or a person who purchases a security entitlement or interest in a security entitlement from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local law of the jurisdiction in which a security certificate is located at the time of delivery governs whether an adverse claim can be asserted against a person to whom the security certificate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w:t>
      </w:r>
      <w:r>
        <w:t>subsection (1), paragraphs (b)</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The following rules determine a "securities intermediary's jurisdiction" for purposes of this section.</w:t>
      </w:r>
    </w:p>
    <w:p>
      <w:pPr>
        <w:jc w:val="both"/>
        <w:spacing w:before="100" w:after="0"/>
        <w:ind w:start="720"/>
      </w:pPr>
      <w:r>
        <w:rPr/>
        <w:t>(a)</w:t>
        <w:t xml:space="preserve">.  </w:t>
      </w:r>
      <w:r>
        <w:rPr/>
      </w:r>
      <w:r>
        <w:t xml:space="preserve">If an agreement between the securities intermediary and its entitlement holder governing the securities account expressly provides that a particular jurisdiction is the securities intermediary's jurisdiction for purposes of this part, this Article or this Title,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(a-1)</w:t>
        <w:t xml:space="preserve">.  </w:t>
      </w:r>
      <w:r>
        <w:rPr/>
      </w:r>
      <w:r>
        <w:t xml:space="preserve">If </w:t>
      </w:r>
      <w:r>
        <w:t>paragraph (a)</w:t>
      </w:r>
      <w:r>
        <w:t xml:space="preserve">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(NEW); PL 1999, c. 699, Pt. B, §28 (AFF).]</w:t>
      </w:r>
    </w:p>
    <w:p>
      <w:pPr>
        <w:jc w:val="both"/>
        <w:spacing w:before="100" w:after="0"/>
        <w:ind w:start="720"/>
      </w:pPr>
      <w:r>
        <w:rPr/>
        <w:t>(b)</w:t>
        <w:t xml:space="preserve">.  </w:t>
      </w:r>
      <w:r>
        <w:rPr/>
      </w:r>
      <w:r>
        <w:t xml:space="preserve">If neither </w:t>
      </w:r>
      <w:r>
        <w:t>paragraph (a)</w:t>
      </w:r>
      <w:r>
        <w:t xml:space="preserve"> nor </w:t>
      </w:r>
      <w:r>
        <w:t>(a‑1)</w:t>
      </w:r>
      <w:r>
        <w:t xml:space="preserve">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(c)</w:t>
        <w:t xml:space="preserve">.  </w:t>
      </w:r>
      <w:r>
        <w:rPr/>
      </w:r>
      <w:r>
        <w:t xml:space="preserve">If none of the preceding paragraphs apply, the securities intermediary's jurisdiction is the jurisdiction in which the office identified in an account statement as the office serving the entitlement holder's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(d)</w:t>
        <w:t xml:space="preserve">.  </w:t>
      </w:r>
      <w:r>
        <w:rPr/>
      </w:r>
      <w:r>
        <w:t xml:space="preserve">If none of the preceding paragraphs apply, the securities intermediary's jurisdiction is the jurisdiction in which the chief executive office of the securities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§22 (AMD); PL 1999, c. 699, Pt. B, §28 (AFF).]</w:t>
      </w:r>
    </w:p>
    <w:p>
      <w:pPr>
        <w:jc w:val="both"/>
        <w:spacing w:before="100" w:after="0"/>
        <w:ind w:start="360"/>
        <w:ind w:firstLine="360"/>
      </w:pPr>
      <w:r>
        <w:rPr>
          <w:b/>
        </w:rPr>
        <w:t>(6)</w:t>
        <w:t xml:space="preserve">.  </w:t>
      </w:r>
      <w:r>
        <w:rPr>
          <w:b/>
        </w:rPr>
      </w:r>
      <w:r>
        <w:t xml:space="preserve"> </w:t>
      </w:r>
      <w:r>
        <w:t xml:space="preserve">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§B22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§8-1110. Applicability;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§8-1110. Applicability;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§8-1110. APPLICABILITY;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