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2. Right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2. Right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2. RIGHT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