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§8-1502. Assertion of adverse claim against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§8-1502. ASSERTION OF ADVERSE CLAIM AGAINST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