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9-1301</w:t>
        <w:t xml:space="preserve">.  </w:t>
      </w:r>
      <w:r>
        <w:rPr>
          <w:b/>
        </w:rPr>
        <w:t xml:space="preserve">Law governing perfection and priority of security interests</w:t>
      </w:r>
    </w:p>
    <w:p>
      <w:pPr>
        <w:jc w:val="both"/>
        <w:spacing w:before="100" w:after="100"/>
        <w:ind w:start="360"/>
        <w:ind w:firstLine="360"/>
      </w:pPr>
      <w:r>
        <w:rPr/>
      </w:r>
      <w:r>
        <w:rPr/>
      </w:r>
      <w:r>
        <w:t xml:space="preserve">Except as otherwise provided in </w:t>
      </w:r>
      <w:r>
        <w:t>sections 9‑1303</w:t>
      </w:r>
      <w:r>
        <w:t xml:space="preserve"> through </w:t>
      </w:r>
      <w:r>
        <w:t>9‑1306</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Except as otherwise provided in this section, while a debtor is located in a jurisdiction, the local law of that jurisdiction governs perfection, the effect of perfection or nonperfection and the priority of a security interest in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While collateral is located in a jurisdiction, the local law of that jurisdiction governs perfection, the effect of perfection or nonperfection and the priority of a possessory security interest in that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while tangible negotiable documents, goods, instruments, money or tangible chattel paper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§34 (AMD); PL 2009, c. 324, Pt. B, §48 (AFF).]</w:t>
      </w:r>
    </w:p>
    <w:p>
      <w:pPr>
        <w:jc w:val="both"/>
        <w:spacing w:before="100" w:after="0"/>
        <w:ind w:start="360"/>
        <w:ind w:firstLine="360"/>
      </w:pPr>
      <w:r>
        <w:rPr>
          <w:b/>
        </w:rPr>
        <w:t>(4)</w:t>
        <w:t xml:space="preserve">.  </w:t>
      </w:r>
      <w:r>
        <w:rPr>
          <w:b/>
        </w:rPr>
      </w:r>
      <w:r>
        <w:t xml:space="preserve"> </w:t>
      </w:r>
      <w:r>
        <w:t xml:space="preserve">The local law of the jurisdiction in which the wellhead or minehead is located governs perfection, the effect of perfection or nonperfection and the priority of a security interest in as-extracted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§34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§9-1301. Law governing perfection and priority of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§9-1301. Law governing perfection and priority of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§9-1301. LAW GOVERNING PERFECTION AND PRIORITY OF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