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9-1322</w:t>
        <w:t xml:space="preserve">.  </w:t>
      </w:r>
      <w:r>
        <w:rPr>
          <w:b/>
        </w:rPr>
        <w:t xml:space="preserve">Priorities among conflicting security interests in and agricultural liens on same collateral</w:t>
      </w:r>
    </w:p>
    <w:p>
      <w:pPr>
        <w:jc w:val="both"/>
        <w:spacing w:before="100" w:after="100"/>
        <w:ind w:start="360"/>
        <w:ind w:firstLine="360"/>
      </w:pPr>
      <w:r>
        <w:rPr>
          <w:b/>
        </w:rPr>
        <w:t>(1)</w:t>
        <w:t xml:space="preserve">.  </w:t>
      </w:r>
      <w:r>
        <w:rPr>
          <w:b/>
        </w:rPr>
      </w:r>
      <w:r>
        <w:t xml:space="preserve"> </w:t>
      </w:r>
      <w:r>
        <w:t xml:space="preserve">Except as otherwise provided in this section, priority among conflicting security interests and agricultural liens in the same collateral is determined according to the following rules.</w:t>
      </w:r>
    </w:p>
    <w:p>
      <w:pPr>
        <w:jc w:val="both"/>
        <w:spacing w:before="100" w:after="0"/>
        <w:ind w:start="720"/>
      </w:pPr>
      <w:r>
        <w:rPr/>
        <w:t>(a)</w:t>
        <w:t xml:space="preserve">.  </w:t>
      </w:r>
      <w:r>
        <w:rPr/>
      </w:r>
      <w:r>
        <w:t xml:space="preserve">Conflicting perfected security interests and agricultural liens rank according to priority in time of filing or perfection.  Priority dates from the earlier of the time a filing covering the collateral is first made or the security interest or agricultural lien is first perfected, if there is no period thereafter when there is neither filing nor perfection.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 perfected security interest or agricultural lien has priority over a conflicting unperfected security interest or agricultural lien.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The first security interest or agricultural lien to attach or become effective has priority if conflicting security interests and agricultural liens are unperfected.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For the purposes of </w:t>
      </w:r>
      <w:r>
        <w:t>subsection (1), paragraph (a)</w:t>
      </w:r>
      <w:r>
        <w:t xml:space="preserve">:</w:t>
      </w:r>
    </w:p>
    <w:p>
      <w:pPr>
        <w:jc w:val="both"/>
        <w:spacing w:before="100" w:after="0"/>
        <w:ind w:start="720"/>
      </w:pPr>
      <w:r>
        <w:rPr/>
        <w:t>(a)</w:t>
        <w:t xml:space="preserve">.  </w:t>
      </w:r>
      <w:r>
        <w:rPr/>
      </w:r>
      <w:r>
        <w:t xml:space="preserve">The time of filing or perfection as to a security interest in collateral is also the time of filing or perfection as to a security interest in proceeds;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time of filing or perfection as to a security interest in collateral supported by a supporting obligation is also the time of filing or perfection as to a security interest in the supporting obligation.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(3)</w:t>
        <w:t xml:space="preserve">.  </w:t>
      </w:r>
      <w:r>
        <w:rPr>
          <w:b/>
        </w:rPr>
      </w:r>
      <w:r>
        <w:t xml:space="preserve"> </w:t>
      </w:r>
      <w:r>
        <w:t xml:space="preserve">Except as otherwise provided in </w:t>
      </w:r>
      <w:r>
        <w:t>subsection (6)</w:t>
      </w:r>
      <w:r>
        <w:t xml:space="preserve">, a security interest in collateral that qualifies for priority over a conflicting security interest under </w:t>
      </w:r>
      <w:r>
        <w:t>section 9‑1327</w:t>
      </w:r>
      <w:r>
        <w:t xml:space="preserve">, </w:t>
      </w:r>
      <w:r>
        <w:t>9‑1328</w:t>
      </w:r>
      <w:r>
        <w:t xml:space="preserve">, </w:t>
      </w:r>
      <w:r>
        <w:t>9‑1329</w:t>
      </w:r>
      <w:r>
        <w:t xml:space="preserve">, </w:t>
      </w:r>
      <w:r>
        <w:t>9‑1330</w:t>
      </w:r>
      <w:r>
        <w:t xml:space="preserve">, or </w:t>
      </w:r>
      <w:r>
        <w:t>9‑1331</w:t>
      </w:r>
      <w:r>
        <w:t xml:space="preserve"> also has priority over a conflicting security interest in:</w:t>
      </w:r>
    </w:p>
    <w:p>
      <w:pPr>
        <w:jc w:val="both"/>
        <w:spacing w:before="100" w:after="0"/>
        <w:ind w:start="720"/>
      </w:pPr>
      <w:r>
        <w:rPr/>
        <w:t>(a)</w:t>
        <w:t xml:space="preserve">.  </w:t>
      </w:r>
      <w:r>
        <w:rPr/>
      </w:r>
      <w:r>
        <w:t xml:space="preserve">Any supporting obligation for the collateral;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Proceeds of the collateral if:</w:t>
      </w:r>
    </w:p>
    <w:p>
      <w:pPr>
        <w:jc w:val="both"/>
        <w:spacing w:before="100" w:after="0"/>
        <w:ind w:start="1080"/>
      </w:pPr>
      <w:r>
        <w:rPr/>
        <w:t>(</w:t>
        <w:t>i</w:t>
        <w:t xml:space="preserve">)  </w:t>
      </w:r>
      <w:r>
        <w:rPr/>
      </w:r>
      <w:r>
        <w:t xml:space="preserve">The security interest in proceeds is perfected;</w:t>
      </w:r>
    </w:p>
    <w:p>
      <w:pPr>
        <w:jc w:val="both"/>
        <w:spacing w:before="100" w:after="0"/>
        <w:ind w:start="1080"/>
      </w:pPr>
      <w:r>
        <w:rPr/>
        <w:t>(</w:t>
        <w:t>ii</w:t>
        <w:t xml:space="preserve">)  </w:t>
      </w:r>
      <w:r>
        <w:rPr/>
      </w:r>
      <w:r>
        <w:t xml:space="preserve">The proceeds are cash proceeds or of the same type as the collateral; and</w:t>
      </w:r>
    </w:p>
    <w:p>
      <w:pPr>
        <w:jc w:val="both"/>
        <w:spacing w:before="100" w:after="0"/>
        <w:ind w:start="1080"/>
      </w:pPr>
      <w:r>
        <w:rPr/>
        <w:t>(</w:t>
        <w:t>iii</w:t>
        <w:t xml:space="preserve">)  </w:t>
      </w:r>
      <w:r>
        <w:rPr/>
      </w:r>
      <w:r>
        <w:t xml:space="preserve">In the case of proceeds that are proceeds of proceeds, all intervening proceeds are cash proceeds, proceeds of the same type as the collateral or an account relating to the collateral.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Subject to </w:t>
      </w:r>
      <w:r>
        <w:t>subsection (5)</w:t>
      </w:r>
      <w:r>
        <w:t xml:space="preserve"> and except as otherwise provided in </w:t>
      </w:r>
      <w:r>
        <w:t>subsection (6)</w:t>
      </w:r>
      <w:r>
        <w:t xml:space="preserve">, if a security interest in chattel paper, deposit accounts, negotiable documents, instruments, investment property or letter-of-credit rights is perfected by a method other than filing, conflicting perfected security interests in proceeds of the collateral rank according to priority in time of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(5)</w:t>
        <w:t xml:space="preserve">.  </w:t>
      </w:r>
      <w:r>
        <w:rPr>
          <w:b/>
        </w:rPr>
      </w:r>
      <w:r>
        <w:t xml:space="preserve"> </w:t>
      </w:r>
      <w:r>
        <w:t>Subsection (4)</w:t>
      </w:r>
      <w:r>
        <w:t xml:space="preserve"> applies only if the proceeds of the collateral are not cash proceeds, chattel paper, negotiable documents, instruments, investment property or letter-of-credit rights.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(6)</w:t>
        <w:t xml:space="preserve">.  </w:t>
      </w:r>
      <w:r>
        <w:rPr>
          <w:b/>
        </w:rPr>
      </w:r>
      <w:r>
        <w:t xml:space="preserve"> </w:t>
      </w:r>
      <w:r>
        <w:t>Subsections (1)</w:t>
      </w:r>
      <w:r>
        <w:t xml:space="preserve"> to </w:t>
      </w:r>
      <w:r>
        <w:t>(5)</w:t>
      </w:r>
      <w:r>
        <w:t xml:space="preserve"> are subject to:</w:t>
      </w:r>
    </w:p>
    <w:p>
      <w:pPr>
        <w:jc w:val="both"/>
        <w:spacing w:before="100" w:after="0"/>
        <w:ind w:start="720"/>
      </w:pPr>
      <w:r>
        <w:rPr/>
        <w:t>(a)</w:t>
        <w:t xml:space="preserve">.  </w:t>
      </w:r>
      <w:r>
        <w:rPr/>
      </w:r>
      <w:r>
        <w:t>Subsection (7)</w:t>
      </w:r>
      <w:r>
        <w:t xml:space="preserve"> and the other provisions of this Part;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Section 4‑210</w:t>
      </w:r>
      <w:r>
        <w:t xml:space="preserve"> with respect to a security interest of a collecting bank;</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Section 5‑1118</w:t>
      </w:r>
      <w:r>
        <w:t xml:space="preserve"> with respect to a security interest of an issuer or nominated person;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Section 9‑1110</w:t>
      </w:r>
      <w:r>
        <w:t xml:space="preserve"> with respect to a security interest arising under </w:t>
      </w:r>
      <w:r>
        <w:t>Article 2</w:t>
      </w:r>
      <w:r>
        <w:t xml:space="preserve"> or </w:t>
      </w:r>
      <w:r>
        <w:t>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(7)</w:t>
        <w:t xml:space="preserve">.  </w:t>
      </w:r>
      <w:r>
        <w:rPr>
          <w:b/>
        </w:rPr>
      </w:r>
      <w:r>
        <w:t xml:space="preserve"> </w:t>
      </w:r>
      <w:r>
        <w:t xml:space="preserve">A perfected agricultural lien on collateral has priority over a conflicting security interest in or agricultural lien on the same collateral if the statute creating the agricultural lien so provides.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§9-1322. Priorities among conflicting security interests in and agricultural liens on same collateral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§9-1322. Priorities among conflicting security interests in and agricultural liens on same collateral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§9-1322. PRIORITIES AMONG CONFLICTING SECURITY INTERESTS IN AND AGRICULTURAL LIENS ON SAME COLLATERAL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