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§9-1326-A. Priority of security interest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§9-1326-A. Priority of security interest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§9-1326-A. PRIORITY OF SECURITY INTEREST IN CONTROLLABLE ACCOUNT, CONTROLLABLE ELECTRONIC RECORD AND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