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9-1326</w:t>
        <w:t xml:space="preserve">.  </w:t>
      </w:r>
      <w:r>
        <w:rPr>
          <w:b/>
        </w:rPr>
        <w:t xml:space="preserve">Priority of security interests created by new debtor</w:t>
      </w:r>
    </w:p>
    <w:p>
      <w:pPr>
        <w:jc w:val="both"/>
        <w:spacing w:before="100" w:after="0"/>
        <w:ind w:start="360"/>
        <w:ind w:firstLine="360"/>
      </w:pPr>
      <w:r>
        <w:rPr>
          <w:b/>
        </w:rPr>
        <w:t>(1)</w:t>
        <w:t xml:space="preserve">.  </w:t>
      </w:r>
      <w:r>
        <w:rPr>
          <w:b/>
        </w:rPr>
      </w:r>
      <w:r>
        <w:t xml:space="preserve"> </w:t>
      </w:r>
      <w:r>
        <w:t xml:space="preserve">Subject to </w:t>
      </w:r>
      <w:r>
        <w:t>subsection (2)</w:t>
      </w:r>
      <w:r>
        <w:t xml:space="preserve">, a security interest that is created by a new debtor is collateral in which the new debtor has or acquires rights and would be ineffective to perfect the security interest but for the application of </w:t>
      </w:r>
      <w:r>
        <w:t>section 9‑1316, subsection (9), paragraph (a)</w:t>
      </w:r>
      <w:r>
        <w:t xml:space="preserve"> or </w:t>
      </w:r>
      <w:r>
        <w:t>section 9‑1508</w:t>
      </w:r>
      <w:r>
        <w:t xml:space="preserve"> is perfected solely by a filed financing statement that is subordinate to a security interest in the same collateral that is perfected other than by such a filed financing statement.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§17 (AMD).]</w:t>
      </w:r>
    </w:p>
    <w:p>
      <w:pPr>
        <w:jc w:val="both"/>
        <w:spacing w:before="100" w:after="0"/>
        <w:ind w:start="360"/>
        <w:ind w:firstLine="360"/>
      </w:pPr>
      <w:r>
        <w:rPr>
          <w:b/>
        </w:rPr>
        <w:t>(2)</w:t>
        <w:t xml:space="preserve">.  </w:t>
      </w:r>
      <w:r>
        <w:rPr>
          <w:b/>
        </w:rPr>
      </w:r>
      <w:r>
        <w:t xml:space="preserve"> </w:t>
      </w:r>
      <w:r>
        <w:t xml:space="preserve">The other provisions of this Part determine the priority among conflicting security interests in the same collateral perfected by filed financing statements described in </w:t>
      </w:r>
      <w:r>
        <w:t>subsection (1)</w:t>
      </w:r>
      <w:r>
        <w:t xml:space="preserve">.  However, if the security agreements to which a new debtor became bound as debtor were not entered into by the same original debtor, the conflicting security interests rank according to priority in time of the new debtor's having become bound.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2013, c. 317, Pt. A, §17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§9-1326. Priority of security interests created by new debtor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§9-1326. Priority of security interests created by new debtor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§9-1326. PRIORITY OF SECURITY INTERESTS CREATED BY NEW DEBTOR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