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1. Alienability of debto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1. Alienability of debto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1. ALIENABILITY OF DEBTO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