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§9-1406. DISCHARGE OF ACCOUNT DEBTOR; NOTIFICATION OF ASSIGNMENT; IDENTIFICATION AND PROOF OF ASSIGNMENT; RESTRICTIONS ON ASSIGNMENT OF ACCOUNTS, CHATTEL PAPER, PAYMENT INTANGIBLES, AND PROMISSORY NOTES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