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DIRECTOR OF THE BUREAU OF FORESTRY</w:t>
      </w:r>
    </w:p>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jc w:val="center"/>
        <w:ind w:start="360"/>
        <w:spacing w:before="300" w:after="300"/>
      </w:pPr>
      <w:r>
        <w:rPr>
          <w:b/>
        </w:rPr>
        <w:t>SUBCHAPTER</w:t>
        <w:t xml:space="preserve"> </w:t>
        <w:t>2</w:t>
      </w:r>
    </w:p>
    <w:p>
      <w:pPr>
        <w:jc w:val="center"/>
        <w:ind w:start="360"/>
        <w:spacing w:before="300" w:after="300"/>
      </w:pPr>
      <w:r>
        <w:rPr>
          <w:b/>
        </w:rPr>
        <w:t xml:space="preserve">PERSONNEL</w:t>
      </w:r>
    </w:p>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jc w:val="center"/>
        <w:ind w:start="360"/>
        <w:spacing w:before="300" w:after="300"/>
      </w:pPr>
      <w:r>
        <w:rPr>
          <w:b/>
        </w:rPr>
        <w:t>SUBCHAPTER</w:t>
        <w:t xml:space="preserve"> </w:t>
        <w:t>2</w:t>
      </w:r>
    </w:p>
    <w:p>
      <w:pPr>
        <w:jc w:val="center"/>
        <w:ind w:start="360"/>
        <w:spacing w:before="300" w:after="300"/>
      </w:pPr>
      <w:r>
        <w:rPr>
          <w:b/>
        </w:rPr>
        <w:t xml:space="preserve">SCIENCE, TECHNOLOGY AND MINERAL RESOURCES BUREAU OF GEOLOGY</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201.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