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LICENSES AND PERMITS GENERALLY</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Issuance; transfer; expiration; fees;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§2 (AMD). PL 1973, c. 459, §1 (AMD). PL 1975, c. 440, §§2,3 (AMD). PL 1977, c. 661, §4 (RP). </w:t>
      </w:r>
    </w:p>
    <w:p>
      <w:pPr>
        <w:jc w:val="both"/>
        <w:spacing w:before="100" w:after="100"/>
        <w:ind w:start="1080" w:hanging="720"/>
      </w:pPr>
      <w:r>
        <w:rPr>
          <w:b/>
        </w:rPr>
        <w:t>§</w:t>
        <w:t>3752</w:t>
        <w:t xml:space="preserve">.  </w:t>
      </w:r>
      <w:r>
        <w:rPr>
          <w:b/>
        </w:rPr>
        <w:t xml:space="preserve">Suspension of licenses, permits and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174 (AMD). PL 1969, c. 535, §1 (AMD). PL 1973, c. 167 (AMD). PL 1977, c. 78, §105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415. LICENSES AND PERMITS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LICENSES AND PERMITS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415. LICENSES AND PERMITS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