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927</w:t>
      </w:r>
    </w:p>
    <w:p>
      <w:pPr>
        <w:jc w:val="center"/>
        <w:ind w:start="360"/>
        <w:spacing w:before="300" w:after="300"/>
      </w:pPr>
      <w:r>
        <w:rPr>
          <w:b/>
        </w:rPr>
        <w:t xml:space="preserve">GUIDES, YOUTH CAMP TRIP LEADERS AND EDUCATIONAL TRIP LEADERS</w:t>
      </w:r>
    </w:p>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b/>
        </w:rPr>
        <w:t>(TEXT EFFECTIVE UNTIL 1/15/24)</w:t>
        <w:t xml:space="preserve"> </w:t>
      </w:r>
      <w:r>
        <w:rPr>
          <w:b/>
        </w:rPr>
        <w:t>(TEXT REPEALED 1/15/24)</w:t>
        <w:t xml:space="preserve"> </w:t>
      </w:r>
      <w:r>
        <w:rPr/>
      </w:r>
      <w:r>
        <w:t xml:space="preserve">A person who has satisfactorily completed a boater safety education course under </w:t>
      </w:r>
      <w:r>
        <w:t>section 13063</w:t>
      </w:r>
      <w:r>
        <w:t xml:space="preserve"> and is certified in first aid under </w:t>
      </w:r>
      <w:r>
        <w:t>subsection 4, paragraph C</w:t>
      </w:r>
      <w:r>
        <w:t xml:space="preserve"> may, without a guide license, operate a watercraft in the course of employment with a seasonal business engaged in recreational tow-sport activities if that seasonal business was engaged in recreational tow-sport activities during the 2022 season. This paragraph is repealed January 15, 2024.</w:t>
      </w:r>
      <w:r>
        <w:t xml:space="preserve">  </w:t>
      </w:r>
      <w:r xmlns:wp="http://schemas.openxmlformats.org/drawingml/2010/wordprocessingDrawing" xmlns:w15="http://schemas.microsoft.com/office/word/2012/wordml">
        <w:rPr>
          <w:rFonts w:ascii="Arial" w:hAnsi="Arial" w:cs="Arial"/>
          <w:sz w:val="22"/>
          <w:szCs w:val="22"/>
        </w:rPr>
        <w:t xml:space="preserve">[PL 2023, c. 226, §1 (NEW).]</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927. GUIDES, YOUTH CAMP TRIP LEADERS AND EDUCATIONAL TRIP LEADERS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927. GUIDES, YOUTH CAMP TRIP LEADERS AND EDUCATIONAL TRIP LEADERS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927. GUIDES, YOUTH CAMP TRIP LEADERS AND EDUCATIONAL TRIP LEADERS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