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10102</w:t>
        <w:t xml:space="preserve">.  </w:t>
      </w:r>
      <w:r>
        <w:rPr>
          <w:b/>
        </w:rPr>
        <w:t xml:space="preserve">Office</w:t>
      </w:r>
    </w:p>
    <w:p>
      <w:pPr>
        <w:jc w:val="both"/>
        <w:spacing w:before="100" w:after="0"/>
        <w:ind w:start="360"/>
        <w:ind w:firstLine="360"/>
      </w:pPr>
      <w:r>
        <w:rPr>
          <w:b/>
        </w:rPr>
        <w:t>1</w:t>
        <w:t xml:space="preserve">.  </w:t>
      </w:r>
      <w:r>
        <w:rPr>
          <w:b/>
        </w:rPr>
        <w:t xml:space="preserve">Facilities.</w:t>
        <w:t xml:space="preserve"> </w:t>
      </w:r>
      <w:r>
        <w:t xml:space="preserve"> </w:t>
      </w:r>
      <w:r>
        <w:t xml:space="preserve">The commissioner is entitled to have an office at the seat of government and adequate facilities for the transaction of the business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Traveling expenses.</w:t>
        <w:t xml:space="preserve"> </w:t>
      </w:r>
      <w:r>
        <w:t xml:space="preserve"> </w:t>
      </w:r>
      <w:r>
        <w:t xml:space="preserve">The commissioner is entitled to receive all necessary traveling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§10102.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§10102.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§10102.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