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§10157. LANDOWNERS AND LAND USERS RELATIONS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