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10256</w:t>
        <w:t xml:space="preserve">.  </w:t>
      </w:r>
      <w:r>
        <w:rPr>
          <w:b/>
        </w:rPr>
        <w:t xml:space="preserve">Land Management Fund</w:t>
      </w:r>
    </w:p>
    <w:p>
      <w:pPr>
        <w:jc w:val="both"/>
        <w:spacing w:before="100" w:after="100"/>
        <w:ind w:start="360"/>
        <w:ind w:firstLine="360"/>
      </w:pPr>
      <w:r>
        <w:rPr/>
      </w:r>
      <w:r>
        <w:rPr/>
      </w:r>
      <w:r>
        <w:t xml:space="preserve">The Land Management Fund is established within the department.  The fund is authorized to receive revenue from the sale of timber, lease of lands, gifts and other revenues associated with the use of department-owned land.  The fund must be held separate and apart from all other money, funds and accounts.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§10256. Land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§10256. Land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§10256. LAND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