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10260</w:t>
        <w:t xml:space="preserve">.  </w:t>
      </w:r>
      <w:r>
        <w:rPr>
          <w:b/>
        </w:rPr>
        <w:t xml:space="preserve">Black Bear Research and Management Fund</w:t>
      </w:r>
    </w:p>
    <w:p>
      <w:pPr>
        <w:jc w:val="both"/>
        <w:spacing w:before="100" w:after="100"/>
        <w:ind w:start="360"/>
        <w:ind w:firstLine="360"/>
      </w:pPr>
      <w:r>
        <w:rPr/>
      </w:r>
      <w:r>
        <w:rPr/>
      </w:r>
      <w:r>
        <w:t xml:space="preserve">The Black Bear Research and Management Fund, referred to in this section as "the fund," is established within the department as a nonlapsing fund to be used by the commissioner to fund or assist in funding research on and the management of black bears.  Revenue from the nonresident late season bear hunting permit under </w:t>
      </w:r>
      <w:r>
        <w:t>section 11151‑A</w:t>
      </w:r>
      <w:r>
        <w:t xml:space="preserve"> and the bear trapping permit under </w:t>
      </w:r>
      <w:r>
        <w:t>section 12260‑A</w:t>
      </w:r>
      <w:r>
        <w:t xml:space="preserve">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2023,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§1 (NEW). PL 2007, c. 168, §8 (AFF). RR 2015, c. 1, §6 (COR). PL 2023, c. 228,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§10260. Black Bear Research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§10260. Black Bear Research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§10260. BLACK BEAR RESEARCH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