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Fund availability</w:t>
      </w:r>
    </w:p>
    <w:p>
      <w:pPr>
        <w:jc w:val="both"/>
        <w:spacing w:before="100" w:after="100"/>
        <w:ind w:start="360"/>
        <w:ind w:firstLine="360"/>
      </w:pPr>
      <w:r>
        <w:rPr/>
      </w:r>
      <w:r>
        <w:rPr/>
      </w:r>
      <w:r>
        <w:t xml:space="preserve">The fund must be available to natural resources agencies in accordance with </w:t>
      </w:r>
      <w:r>
        <w:t>section 10307</w:t>
      </w:r>
      <w:r>
        <w:t xml:space="preserve">.  Natural resources agencies may contract with nongovernmental organizations and individuals for the purpose of carrying out projects funded by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§10305. Fund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Fund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§10305. FUND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