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10351</w:t>
        <w:t xml:space="preserve">.  </w:t>
      </w:r>
      <w:r>
        <w:rPr>
          <w:b/>
        </w:rPr>
        <w:t xml:space="preserve">Appointment of wardens</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appoint as game wardens persons who have qualified under the written code prepared by the commissioner and approved by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2023, c. 412, Pt. D, §3 (REV).]</w:t>
      </w:r>
    </w:p>
    <w:p>
      <w:pPr>
        <w:jc w:val="both"/>
        <w:spacing w:before="100" w:after="0"/>
        <w:ind w:start="360"/>
        <w:ind w:firstLine="360"/>
      </w:pPr>
      <w:r>
        <w:rPr>
          <w:b/>
        </w:rPr>
        <w:t>2</w:t>
        <w:t xml:space="preserve">.  </w:t>
      </w:r>
      <w:r>
        <w:rPr>
          <w:b/>
        </w:rPr>
        <w:t xml:space="preserve">Deputy game wardens.</w:t>
        <w:t xml:space="preserve"> </w:t>
      </w:r>
      <w:r>
        <w:t xml:space="preserve"> </w:t>
      </w:r>
      <w:r>
        <w:t xml:space="preserve">The commissioner may appoint, on a temporary basis, deputy game wardens.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550, §1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§10351. Appointment of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§10351. Appointment of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§10351. APPOINTMENT OF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