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this Part occurring within the district attorney's district when requested by the commissioner or a game warden or other law enforcement officer authorized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§10551.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§10551.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§10551.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