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10751</w:t>
        <w:t xml:space="preserve">.  </w:t>
      </w:r>
      <w:r>
        <w:rPr>
          <w:b/>
        </w:rPr>
        <w:t xml:space="preserve">Application and license specifications</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furnish application blanks, licenses and permits in such form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§81 (AMD); PL 2003, c. 655, Pt. B, §422 (AFF).]</w:t>
      </w:r>
    </w:p>
    <w:p>
      <w:pPr>
        <w:jc w:val="both"/>
        <w:spacing w:before="100" w:after="0"/>
        <w:ind w:start="360"/>
        <w:ind w:firstLine="360"/>
      </w:pPr>
      <w:r>
        <w:rPr>
          <w:b/>
        </w:rPr>
        <w:t>2</w:t>
        <w:t xml:space="preserve">.  </w:t>
      </w:r>
      <w:r>
        <w:rPr>
          <w:b/>
        </w:rPr>
        <w:t xml:space="preserve">Identification number.</w:t>
        <w:t xml:space="preserve"> </w:t>
      </w:r>
      <w:r>
        <w:t xml:space="preserve"> </w:t>
      </w:r>
      <w:r>
        <w:t xml:space="preserve">The commissioner may require an identification number and any other pertinent information on any licenses or permits issued by the department as the commissioner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Statement of right to possess firearms.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§82 (RP); PL 2003, c. 655, Pt. B, §422 (AFF).]</w:t>
      </w:r>
    </w:p>
    <w:p>
      <w:pPr>
        <w:jc w:val="both"/>
        <w:spacing w:before="100" w:after="0"/>
        <w:ind w:start="360"/>
        <w:ind w:firstLine="360"/>
      </w:pPr>
      <w:r>
        <w:rPr>
          <w:b/>
        </w:rPr>
        <w:t>4</w:t>
        <w:t xml:space="preserve">.  </w:t>
      </w:r>
      <w:r>
        <w:rPr>
          <w:b/>
        </w:rPr>
        <w:t xml:space="preserve">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§9 (RP).]</w:t>
      </w:r>
    </w:p>
    <w:p>
      <w:pPr>
        <w:jc w:val="both"/>
        <w:spacing w:before="100" w:after="0"/>
        <w:ind w:start="360"/>
        <w:ind w:firstLine="360"/>
      </w:pPr>
      <w:r>
        <w:rPr>
          <w:b/>
        </w:rPr>
        <w:t>5</w:t>
        <w:t xml:space="preserve">.  </w:t>
      </w:r>
      <w:r>
        <w:rPr>
          <w:b/>
        </w:rPr>
        <w:t xml:space="preserve">Preissue.</w:t>
        <w:t xml:space="preserve"> </w:t>
      </w:r>
      <w:r>
        <w:t xml:space="preserve"> </w:t>
      </w:r>
      <w:r>
        <w:t xml:space="preserve">A license or permit may be issued prior to the date upon which it goes into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Duplicates.</w:t>
        <w:t xml:space="preserve"> </w:t>
      </w:r>
      <w:r>
        <w:t xml:space="preserve"> </w:t>
      </w:r>
      <w:r>
        <w:t xml:space="preserve">A duplicate license or permit may be obtained by a person who has accidentally lost or destroyed a license or permit issued to that person under this chapter upon payment of a fee of $2, all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License must be signed.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§83 (RP); PL 2003, c. 655, Pt. B, §422 (AFF).]</w:t>
      </w:r>
    </w:p>
    <w:p>
      <w:pPr>
        <w:jc w:val="both"/>
        <w:spacing w:before="100" w:after="100"/>
        <w:ind w:start="360"/>
        <w:ind w:firstLine="360"/>
      </w:pPr>
      <w:r>
        <w:rPr>
          <w:b/>
        </w:rPr>
        <w:t>8</w:t>
        <w:t xml:space="preserve">.  </w:t>
      </w:r>
      <w:r>
        <w:rPr>
          <w:b/>
        </w:rPr>
        <w:t xml:space="preserve">Transaction fees.</w:t>
        <w:t xml:space="preserve"> </w:t>
      </w:r>
      <w:r>
        <w:t xml:space="preserve"> </w:t>
      </w:r>
      <w:r>
        <w:t xml:space="preserve">The commissioner may charge a transaction fee of up to $12 to cover administrative costs for the issuance of a license or permit that does not have a fee provided by law.  When a transfer of a license or permit or exchange of a hunting zone or area is authorized under this Part, the commissioner may assess a $7 transaction fee for that transfer or exchange.</w:t>
      </w:r>
    </w:p>
    <w:p>
      <w:pPr>
        <w:jc w:val="both"/>
        <w:spacing w:before="100" w:after="0"/>
        <w:ind w:start="360"/>
      </w:pPr>
      <w:r>
        <w:rPr/>
      </w:r>
      <w:r>
        <w:rPr/>
      </w:r>
      <w:r>
        <w:t xml:space="preserve">The commissioner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§§B81-84 (AMD). PL 2003, c. 655, §B422 (AFF). PL 2005, c. 12, §III3 (AMD). PL 2011, c. 253,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§10751. Application and license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§10751. Application and license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§10751. APPLICATION AND LICENSE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