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Mental deficiency or illness; eligibility</w:t>
      </w:r>
    </w:p>
    <w:p>
      <w:pPr>
        <w:jc w:val="both"/>
        <w:spacing w:before="100" w:after="100"/>
        <w:ind w:start="360"/>
        <w:ind w:firstLine="360"/>
      </w:pPr>
      <w:r>
        <w:rPr/>
      </w:r>
      <w:r>
        <w:rPr/>
      </w:r>
      <w:r>
        <w:t xml:space="preserve">A person who is a mentally ill person, as defined in </w:t>
      </w:r>
      <w:r>
        <w:t>Title 34‑B, section 3801</w:t>
      </w:r>
      <w:r>
        <w:t xml:space="preserve">, or who has a mental deficiency or mental illness, as those terms are defined in </w:t>
      </w:r>
      <w:r>
        <w:t>Title 34‑B, section 9002</w:t>
      </w:r>
      <w:r>
        <w:t xml:space="preserve">, is ineligible to obtain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§112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§11104. Mental deficiency or illness;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Mental deficiency or illness;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§11104. MENTAL DEFICIENCY OR ILLNESS;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