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§11160. COYOTE NIGHT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