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b/>
        </w:rPr>
        <w:t>(TEXT EFFECTIVE UNTIL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b/>
        </w:rPr>
        <w:t>(TEXT EFFECTIVE 1/01/24)</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b/>
        </w:rPr>
        <w:t>(TEXT EFFECTIVE UNTIL 1/01/24)</w:t>
        <w:t xml:space="preserve"> </w:t>
      </w:r>
      <w:r>
        <w:rPr/>
      </w:r>
      <w:r>
        <w:t xml:space="preserve">Allow duck decoys to remain in waters of Merrymeeting Bay at any time during the period from one hour after legal shooting time until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b/>
        </w:rPr>
        <w:t>(TEXT EFFECTIVE 1/01/24)</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b/>
        </w:rPr>
        <w:t>(TEXT EFFECTIVE UNTIL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b/>
        </w:rPr>
        <w:t>(TEXT EFFECTIVE 1/01/24)</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§3 (AMD); PL 2023, c. 239, §§26-29 (AMD); PL 2023, c. 431, §§5-7 (AMD); PL 2023, c. 431, §23 (AFF).]</w:t>
      </w:r>
    </w:p>
    <w:p>
      <w:pPr>
        <w:jc w:val="both"/>
        <w:spacing w:before="100" w:after="0"/>
        <w:ind w:start="360"/>
        <w:ind w:firstLine="360"/>
      </w:pPr>
      <w:r>
        <w:rPr>
          <w:b/>
        </w:rPr>
        <w:t>2</w:t>
        <w:t xml:space="preserve">.  </w:t>
      </w:r>
      <w:r>
        <w:rPr>
          <w:b/>
        </w:rPr>
        <w:t>(TEXT EFFECTIVE UNTIL 1/01/24)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§146 (NEW); PL 2003, c. 655, Pt. B, §422 (AFF).]</w:t>
      </w:r>
    </w:p>
    <w:p>
      <w:pPr>
        <w:jc w:val="both"/>
        <w:spacing w:before="100" w:after="0"/>
        <w:ind w:start="360"/>
        <w:ind w:firstLine="360"/>
      </w:pPr>
      <w:r>
        <w:rPr>
          <w:b/>
        </w:rPr>
        <w:t>2</w:t>
        <w:t xml:space="preserve">.  </w:t>
      </w:r>
      <w:r>
        <w:rPr>
          <w:b/>
        </w:rPr>
        <w:t>(TEXT EFFECTIVE 1/01/24)</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§11214. Unlawful use or possession of implements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§11214. UNLAWFUL USE OR POSSESSION OF IMPLEMENTS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