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§11301. PLACING OF BEAR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