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§11651-A. Hunting moose after having killed 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§11651-A. Hunting moose after having killed one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§11651-A. HUNTING MOOSE AFTER HAVING KILLED 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