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§11951. HUNTING HARES AND RABBITS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