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12154</w:t>
        <w:t xml:space="preserve">.  </w:t>
      </w:r>
      <w:r>
        <w:rPr>
          <w:b/>
        </w:rPr>
        <w:t xml:space="preserve">Department breeding or rearing wild birds</w:t>
      </w:r>
    </w:p>
    <w:p>
      <w:pPr>
        <w:jc w:val="both"/>
        <w:spacing w:before="100" w:after="100"/>
        <w:ind w:start="360"/>
        <w:ind w:firstLine="360"/>
      </w:pPr>
      <w:r>
        <w:rPr/>
      </w:r>
      <w:r>
        <w:rPr/>
      </w:r>
      <w:r>
        <w:t xml:space="preserve">Notwithstanding </w:t>
      </w:r>
      <w:r>
        <w:t>section 12151</w:t>
      </w:r>
      <w:r>
        <w:t xml:space="preserve"> as it applies to </w:t>
      </w:r>
      <w:r>
        <w:t>section 12152</w:t>
      </w:r>
      <w:r>
        <w:t xml:space="preserve">, </w:t>
      </w:r>
      <w:r>
        <w:t>section 12151</w:t>
      </w:r>
      <w:r>
        <w:t xml:space="preserve"> does not apply to migratory game birds, partridge, grouse or pheasant owned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§203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§12154. Department breeding or rearing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§12154. Department breeding or rearing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§12154. DEPARTMENT BREEDING OR REARING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