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§12160. Disposition of wolf hybrids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§12160. Disposition of wolf hybrids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§12160. DISPOSITION OF WOLF HYBRIDS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