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§12253. CONSENT TO TRAP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